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B950B9" w:rsidTr="00155F95">
        <w:trPr>
          <w:trHeight w:val="4204"/>
        </w:trPr>
        <w:tc>
          <w:tcPr>
            <w:tcW w:w="583" w:type="dxa"/>
          </w:tcPr>
          <w:p w:rsidR="00B950B9" w:rsidRDefault="0053460D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10мл, с иглами 21Gx11/2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24,71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61775</w:t>
            </w:r>
          </w:p>
        </w:tc>
      </w:tr>
      <w:tr w:rsidR="00B950B9" w:rsidTr="00155F95">
        <w:tc>
          <w:tcPr>
            <w:tcW w:w="583" w:type="dxa"/>
          </w:tcPr>
          <w:p w:rsidR="00B950B9" w:rsidRPr="00397396" w:rsidRDefault="0053460D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5мл; с иглами 22Gx11/2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15,64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78200</w:t>
            </w:r>
          </w:p>
        </w:tc>
      </w:tr>
      <w:tr w:rsidR="00B950B9" w:rsidTr="00155F95">
        <w:tc>
          <w:tcPr>
            <w:tcW w:w="583" w:type="dxa"/>
          </w:tcPr>
          <w:p w:rsidR="00B950B9" w:rsidRPr="00397396" w:rsidRDefault="0053460D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трехкомпонентный стерильный однократного применения объемами: 20мл; с иглами 20Gx11/2"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Шприц изготовлен из высококачественного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31,08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15540</w:t>
            </w:r>
          </w:p>
        </w:tc>
      </w:tr>
      <w:tr w:rsidR="00B950B9" w:rsidRPr="002A496B" w:rsidTr="00155F95">
        <w:tc>
          <w:tcPr>
            <w:tcW w:w="583" w:type="dxa"/>
          </w:tcPr>
          <w:p w:rsidR="00B950B9" w:rsidRPr="00397396" w:rsidRDefault="0053460D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3мл; с иглами 23Gx1"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19,01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57030</w:t>
            </w:r>
          </w:p>
        </w:tc>
      </w:tr>
      <w:tr w:rsidR="00B950B9" w:rsidRPr="005A5476" w:rsidTr="00155F95">
        <w:tc>
          <w:tcPr>
            <w:tcW w:w="583" w:type="dxa"/>
          </w:tcPr>
          <w:p w:rsidR="00B950B9" w:rsidRPr="00397396" w:rsidRDefault="0053460D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Bioject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инъекционный трехкомпонентный стерильный однократного применения объемами: 2мл; с иглами 23Gx1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15,84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55440</w:t>
            </w:r>
          </w:p>
        </w:tc>
      </w:tr>
      <w:tr w:rsidR="00B950B9" w:rsidTr="00155F95">
        <w:tc>
          <w:tcPr>
            <w:tcW w:w="583" w:type="dxa"/>
          </w:tcPr>
          <w:p w:rsidR="00B950B9" w:rsidRDefault="0053460D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Мочеприемник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® стерильный однократного применения, объемами: 1000 мл, модификации крепления: с ремешком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Модификация крепления: с ремешком, состоит из пакета/мешка для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мочи, не содержащего латекс, объемами 1000мл, 2000мл; Т-образного сливного клапана; порта для взятия проб мочи; встроенного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антирефлюксного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клапана с коническим коннектором и защитным колпачком; дренажной трубки с внешним диаметром от 6,0мм до 10,5мм и длиной 100см; ремешка для крепления. Модификация крепления: с завязками, состоит из пакета/мешка для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мочи, не содержащего латекс, объемами 1000мл, 2000мл; Т-образного сливного клапана; встроенного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антирефлюксного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клапана с коническим коннектором и защитным колпачком; дренажной трубки с внешним диаметром от 6,0мм до 10,5мм и длиной 90см; двойных завязок для крепления. Т-образный сливной клапан легко открыть или закрыть одной рукой. При закрытии клапана слышен характерный щелчок. Визуально можно определить, закрыт ли клапан. Дренажная трубка устойчива к перегибам. Встроенный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антирефлюксный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клапан с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коническим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коннектором предотвращает обратный заброс мочи, даже если мешок/пакет перевернут снизу вверх. Цена деления измерительной шкалы: 1000 мл – 50 мл, 2000 мл – 100 мл.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450,39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9007,8</w:t>
            </w:r>
          </w:p>
        </w:tc>
      </w:tr>
      <w:tr w:rsidR="00B950B9" w:rsidTr="00155F95">
        <w:tc>
          <w:tcPr>
            <w:tcW w:w="583" w:type="dxa"/>
          </w:tcPr>
          <w:p w:rsidR="00B950B9" w:rsidRPr="00397396" w:rsidRDefault="0053460D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Скальпель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Biolancet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стерильный, однократного применения, с защитой на лезвии/с защитным колпачком, со съемными 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Скальпель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Biolancet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®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Budget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стерильный, однократного применения, с защитным колпачком, со съемными лезвиями № 11 из углеродистой стали, в коробке №10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80,0128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4000,64</w:t>
            </w:r>
          </w:p>
        </w:tc>
      </w:tr>
      <w:tr w:rsidR="00B950B9" w:rsidTr="00155F95">
        <w:tc>
          <w:tcPr>
            <w:tcW w:w="583" w:type="dxa"/>
          </w:tcPr>
          <w:p w:rsidR="00B950B9" w:rsidRDefault="0053460D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10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Марля медицинская в рулонах, размеры: 1000м х 90см</w:t>
            </w:r>
          </w:p>
        </w:tc>
        <w:tc>
          <w:tcPr>
            <w:tcW w:w="2694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center"/>
          </w:tcPr>
          <w:p w:rsidR="00B950B9" w:rsidRDefault="00B95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125000</w:t>
            </w:r>
          </w:p>
        </w:tc>
      </w:tr>
      <w:tr w:rsidR="00B950B9" w:rsidTr="005965F0">
        <w:tc>
          <w:tcPr>
            <w:tcW w:w="583" w:type="dxa"/>
          </w:tcPr>
          <w:p w:rsidR="00B950B9" w:rsidRDefault="00B950B9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B950B9" w:rsidRDefault="00B950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B950B9" w:rsidRDefault="00B95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950B9" w:rsidRDefault="00B9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950B9" w:rsidRDefault="00B950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950B9" w:rsidRDefault="00B950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50B9" w:rsidRDefault="005346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405993,44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FF77E5">
        <w:rPr>
          <w:rStyle w:val="s0"/>
          <w:rFonts w:eastAsia="Calibri"/>
          <w:sz w:val="20"/>
          <w:szCs w:val="20"/>
          <w:lang w:val="kk-KZ"/>
        </w:rPr>
        <w:t>1</w:t>
      </w:r>
      <w:r w:rsidR="0053460D">
        <w:rPr>
          <w:rStyle w:val="s0"/>
          <w:rFonts w:eastAsia="Calibri"/>
          <w:sz w:val="20"/>
          <w:szCs w:val="20"/>
          <w:lang w:val="kk-KZ"/>
        </w:rPr>
        <w:t>9</w:t>
      </w:r>
      <w:r w:rsidR="009977E9">
        <w:rPr>
          <w:rStyle w:val="s0"/>
          <w:rFonts w:eastAsia="Calibri"/>
          <w:sz w:val="20"/>
          <w:szCs w:val="20"/>
        </w:rPr>
        <w:t>.0</w:t>
      </w:r>
      <w:r w:rsidR="0053460D">
        <w:rPr>
          <w:rStyle w:val="s0"/>
          <w:rFonts w:eastAsia="Calibri"/>
          <w:sz w:val="20"/>
          <w:szCs w:val="20"/>
        </w:rPr>
        <w:t>5</w:t>
      </w:r>
      <w:r w:rsidR="009977E9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FF77E5">
        <w:rPr>
          <w:sz w:val="20"/>
          <w:szCs w:val="20"/>
          <w:lang w:val="kk-KZ"/>
        </w:rPr>
        <w:t>1</w:t>
      </w:r>
      <w:r w:rsidR="0053460D">
        <w:rPr>
          <w:sz w:val="20"/>
          <w:szCs w:val="20"/>
          <w:lang w:val="kk-KZ"/>
        </w:rPr>
        <w:t>9</w:t>
      </w:r>
      <w:r w:rsidR="009977E9">
        <w:rPr>
          <w:rStyle w:val="s0"/>
          <w:rFonts w:eastAsia="Calibri"/>
          <w:sz w:val="20"/>
          <w:szCs w:val="20"/>
        </w:rPr>
        <w:t>.0</w:t>
      </w:r>
      <w:r w:rsidR="0053460D">
        <w:rPr>
          <w:rStyle w:val="s0"/>
          <w:rFonts w:eastAsia="Calibri"/>
          <w:sz w:val="20"/>
          <w:szCs w:val="20"/>
        </w:rPr>
        <w:t>5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 xml:space="preserve">г в </w:t>
      </w:r>
      <w:bookmarkStart w:id="1" w:name="_GoBack"/>
      <w:bookmarkEnd w:id="1"/>
      <w:r w:rsidR="004A178D">
        <w:rPr>
          <w:rStyle w:val="s0"/>
          <w:rFonts w:eastAsia="Calibri"/>
          <w:sz w:val="20"/>
          <w:szCs w:val="20"/>
        </w:rPr>
        <w:t>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79" w:rsidRDefault="00AD4879">
      <w:r>
        <w:separator/>
      </w:r>
    </w:p>
  </w:endnote>
  <w:endnote w:type="continuationSeparator" w:id="0">
    <w:p w:rsidR="00AD4879" w:rsidRDefault="00AD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79" w:rsidRDefault="00AD4879">
      <w:r>
        <w:separator/>
      </w:r>
    </w:p>
  </w:footnote>
  <w:footnote w:type="continuationSeparator" w:id="0">
    <w:p w:rsidR="00AD4879" w:rsidRDefault="00AD4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AD4879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86F3C"/>
    <w:rsid w:val="000B4988"/>
    <w:rsid w:val="000D68F9"/>
    <w:rsid w:val="000D70EA"/>
    <w:rsid w:val="000F019E"/>
    <w:rsid w:val="0010162F"/>
    <w:rsid w:val="0013450E"/>
    <w:rsid w:val="001416AD"/>
    <w:rsid w:val="0017547D"/>
    <w:rsid w:val="00196968"/>
    <w:rsid w:val="001E0374"/>
    <w:rsid w:val="00287E26"/>
    <w:rsid w:val="002A496B"/>
    <w:rsid w:val="002A7396"/>
    <w:rsid w:val="002B0FB8"/>
    <w:rsid w:val="002E524A"/>
    <w:rsid w:val="0030136A"/>
    <w:rsid w:val="00380A66"/>
    <w:rsid w:val="00384B9D"/>
    <w:rsid w:val="00397396"/>
    <w:rsid w:val="003B29DD"/>
    <w:rsid w:val="00467AE0"/>
    <w:rsid w:val="004A178D"/>
    <w:rsid w:val="00516828"/>
    <w:rsid w:val="0053460D"/>
    <w:rsid w:val="00546FDD"/>
    <w:rsid w:val="005965F0"/>
    <w:rsid w:val="005A0D63"/>
    <w:rsid w:val="005A5476"/>
    <w:rsid w:val="005D1342"/>
    <w:rsid w:val="005E0822"/>
    <w:rsid w:val="00622E62"/>
    <w:rsid w:val="00651DC8"/>
    <w:rsid w:val="00664407"/>
    <w:rsid w:val="006A2783"/>
    <w:rsid w:val="007006B5"/>
    <w:rsid w:val="007875E0"/>
    <w:rsid w:val="007A6B3B"/>
    <w:rsid w:val="007F5145"/>
    <w:rsid w:val="0088162F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AD4879"/>
    <w:rsid w:val="00B40767"/>
    <w:rsid w:val="00B5779B"/>
    <w:rsid w:val="00B950B9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A3D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12</Pages>
  <Words>4236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32</cp:revision>
  <cp:lastPrinted>2022-03-03T12:57:00Z</cp:lastPrinted>
  <dcterms:created xsi:type="dcterms:W3CDTF">2021-11-23T07:24:00Z</dcterms:created>
  <dcterms:modified xsi:type="dcterms:W3CDTF">2023-05-14T05:30:00Z</dcterms:modified>
</cp:coreProperties>
</file>